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 xml:space="preserve">经营状况及安全性指标表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84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545"/>
        <w:gridCol w:w="1830"/>
        <w:gridCol w:w="2580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相关数据在报告中所在页码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净资产总额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流动性比例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资产利润率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不良贷款率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注：数据来源应为已披</w:t>
      </w:r>
      <w:bookmarkStart w:id="0" w:name="_GoBack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highlight w:val="none"/>
          <w:lang w:val="en-US" w:eastAsia="zh-CN" w:bidi="ar"/>
        </w:rPr>
        <w:t>露的2023年年度报告或者2023年</w:t>
      </w:r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经审计年度报告中的净资产总额、资本充足率、不良贷款率、资产利润率以及人民币流动性比例，需标注相关数值在报告中所在页码的位置。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37" w:firstLineChars="918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参评银行全称（盖章）_____________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57" w:firstLineChars="1518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年   月   日 </w:t>
      </w:r>
    </w:p>
    <w:p>
      <w:pPr>
        <w:ind w:left="0" w:leftChars="0" w:firstLine="2203" w:firstLineChars="918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1175051-71F8-4C31-A6A4-FA5D7AE6A5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7B1D8FF-C7DC-4B8E-B878-9DB251EF80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jdjNmQ3NjdmMWY5MjJhMDRhMjNjZWE2OWQzMTgifQ=="/>
  </w:docVars>
  <w:rsids>
    <w:rsidRoot w:val="00000000"/>
    <w:rsid w:val="03D14EC4"/>
    <w:rsid w:val="060023C7"/>
    <w:rsid w:val="1A083C87"/>
    <w:rsid w:val="27627165"/>
    <w:rsid w:val="4F3E174B"/>
    <w:rsid w:val="614C1BD0"/>
    <w:rsid w:val="6E3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185</Characters>
  <Lines>0</Lines>
  <Paragraphs>0</Paragraphs>
  <TotalTime>1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2021-05-26T06:49:00Z</dcterms:created>
  <dc:creator>yux</dc:creator>
  <cp:lastModifiedBy>展妍</cp:lastModifiedBy>
  <cp:lastPrinted>2024-07-05T06:44:00Z</cp:lastPrinted>
  <dcterms:modified xsi:type="dcterms:W3CDTF">2024-07-08T04:05:44Z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F7ECF71490D24DA2B69D218073FF4EEE</vt:lpwstr>
  </property>
</Properties>
</file>